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8410" w14:textId="77777777" w:rsidR="003E1D07" w:rsidRDefault="003E1D07" w:rsidP="00C171E7">
      <w:pPr>
        <w:pStyle w:val="ConsPlusTitle"/>
        <w:jc w:val="center"/>
      </w:pPr>
    </w:p>
    <w:p w14:paraId="04D146DA" w14:textId="5B4DA20C" w:rsidR="003E1D07" w:rsidRPr="008F0A33" w:rsidRDefault="003E1D07" w:rsidP="003E1D07">
      <w:pPr>
        <w:shd w:val="clear" w:color="auto" w:fill="FFFFFF"/>
        <w:spacing w:line="380" w:lineRule="exact"/>
        <w:ind w:left="-1276" w:right="-568"/>
        <w:jc w:val="center"/>
        <w:rPr>
          <w:rFonts w:ascii="Constantia" w:eastAsia="PMingLiU-ExtB" w:hAnsi="Constantia"/>
          <w:b/>
          <w:bCs/>
          <w:caps/>
          <w:w w:val="90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F8B1FE" wp14:editId="185DA347">
            <wp:simplePos x="0" y="0"/>
            <wp:positionH relativeFrom="column">
              <wp:posOffset>2775585</wp:posOffset>
            </wp:positionH>
            <wp:positionV relativeFrom="paragraph">
              <wp:posOffset>-29845</wp:posOffset>
            </wp:positionV>
            <wp:extent cx="904875" cy="93345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7CA0C" w14:textId="77777777" w:rsidR="003E1D07" w:rsidRPr="008F0A33" w:rsidRDefault="003E1D07" w:rsidP="003E1D07">
      <w:pPr>
        <w:shd w:val="clear" w:color="auto" w:fill="FFFFFF"/>
        <w:spacing w:line="380" w:lineRule="exact"/>
        <w:ind w:left="-1276" w:right="-568"/>
        <w:jc w:val="center"/>
        <w:rPr>
          <w:rFonts w:ascii="Constantia" w:eastAsia="PMingLiU-ExtB" w:hAnsi="Constantia"/>
          <w:b/>
          <w:bCs/>
          <w:caps/>
          <w:w w:val="90"/>
          <w:sz w:val="34"/>
          <w:szCs w:val="34"/>
        </w:rPr>
      </w:pPr>
    </w:p>
    <w:p w14:paraId="392F18AF" w14:textId="77777777" w:rsidR="003E1D07" w:rsidRPr="008F0A33" w:rsidRDefault="003E1D07" w:rsidP="003E1D07">
      <w:pPr>
        <w:shd w:val="clear" w:color="auto" w:fill="FFFFFF"/>
        <w:spacing w:line="380" w:lineRule="exact"/>
        <w:ind w:right="-568"/>
        <w:rPr>
          <w:rFonts w:ascii="Constantia" w:eastAsia="PMingLiU-ExtB" w:hAnsi="Constantia"/>
          <w:b/>
          <w:bCs/>
          <w:caps/>
          <w:w w:val="90"/>
          <w:sz w:val="34"/>
          <w:szCs w:val="34"/>
        </w:rPr>
      </w:pPr>
    </w:p>
    <w:p w14:paraId="4455463F" w14:textId="77777777" w:rsidR="003E1D07" w:rsidRDefault="003E1D07" w:rsidP="003E1D07">
      <w:pPr>
        <w:shd w:val="clear" w:color="auto" w:fill="FFFFFF"/>
        <w:spacing w:line="380" w:lineRule="exact"/>
        <w:ind w:right="-567"/>
        <w:jc w:val="center"/>
        <w:rPr>
          <w:rFonts w:ascii="Constantia" w:eastAsia="PMingLiU-ExtB" w:hAnsi="Constantia"/>
          <w:b/>
          <w:bCs/>
          <w:caps/>
          <w:w w:val="90"/>
          <w:sz w:val="34"/>
          <w:szCs w:val="34"/>
        </w:rPr>
      </w:pPr>
    </w:p>
    <w:p w14:paraId="5ED2C1D2" w14:textId="6E155B1C" w:rsidR="003E1D07" w:rsidRPr="008F0A33" w:rsidRDefault="003E1D07" w:rsidP="003E1D07">
      <w:pPr>
        <w:shd w:val="clear" w:color="auto" w:fill="FFFFFF"/>
        <w:spacing w:line="380" w:lineRule="exact"/>
        <w:ind w:right="-567"/>
        <w:jc w:val="center"/>
        <w:rPr>
          <w:rFonts w:ascii="Constantia" w:eastAsia="PMingLiU-ExtB" w:hAnsi="Constantia"/>
          <w:b/>
          <w:bCs/>
          <w:caps/>
          <w:w w:val="90"/>
          <w:sz w:val="34"/>
          <w:szCs w:val="34"/>
        </w:rPr>
      </w:pPr>
      <w:r w:rsidRPr="008F0A33">
        <w:rPr>
          <w:rFonts w:ascii="Constantia" w:eastAsia="PMingLiU-ExtB" w:hAnsi="Constantia"/>
          <w:b/>
          <w:bCs/>
          <w:caps/>
          <w:w w:val="90"/>
          <w:sz w:val="34"/>
          <w:szCs w:val="34"/>
        </w:rPr>
        <w:t>служба государственного финансового контроля</w:t>
      </w:r>
    </w:p>
    <w:p w14:paraId="566283BB" w14:textId="77777777" w:rsidR="003E1D07" w:rsidRPr="008F0A33" w:rsidRDefault="003E1D07" w:rsidP="003E1D07">
      <w:pPr>
        <w:shd w:val="clear" w:color="auto" w:fill="FFFFFF"/>
        <w:jc w:val="center"/>
        <w:rPr>
          <w:rFonts w:ascii="Constantia" w:eastAsia="PMingLiU-ExtB" w:hAnsi="Constantia"/>
          <w:b/>
          <w:bCs/>
          <w:caps/>
          <w:w w:val="90"/>
          <w:sz w:val="34"/>
          <w:szCs w:val="34"/>
        </w:rPr>
      </w:pPr>
      <w:r w:rsidRPr="008F0A33">
        <w:rPr>
          <w:rFonts w:ascii="Constantia" w:eastAsia="PMingLiU-ExtB" w:hAnsi="Constantia"/>
          <w:b/>
          <w:bCs/>
          <w:caps/>
          <w:w w:val="90"/>
          <w:sz w:val="34"/>
          <w:szCs w:val="34"/>
        </w:rPr>
        <w:t>РЕСПУБЛИКИ ДАГЕСТАН</w:t>
      </w:r>
    </w:p>
    <w:p w14:paraId="1C649319" w14:textId="77777777" w:rsidR="003E1D07" w:rsidRPr="003E1D07" w:rsidRDefault="003E1D07" w:rsidP="003E1D07">
      <w:pPr>
        <w:jc w:val="center"/>
        <w:rPr>
          <w:b/>
          <w:bCs/>
          <w:sz w:val="16"/>
          <w:szCs w:val="16"/>
        </w:rPr>
      </w:pPr>
    </w:p>
    <w:p w14:paraId="596BEAB7" w14:textId="77777777" w:rsidR="003E1D07" w:rsidRPr="00297426" w:rsidRDefault="003E1D07" w:rsidP="003E1D07">
      <w:pPr>
        <w:jc w:val="center"/>
        <w:rPr>
          <w:b/>
          <w:bCs/>
          <w:sz w:val="32"/>
          <w:szCs w:val="32"/>
        </w:rPr>
      </w:pPr>
      <w:r w:rsidRPr="00297426">
        <w:rPr>
          <w:b/>
          <w:bCs/>
          <w:sz w:val="32"/>
          <w:szCs w:val="32"/>
        </w:rPr>
        <w:t>ПРИКАЗ</w:t>
      </w:r>
    </w:p>
    <w:p w14:paraId="1C185702" w14:textId="77777777" w:rsidR="003E1D07" w:rsidRPr="003E1D07" w:rsidRDefault="003E1D07" w:rsidP="003E1D07">
      <w:pPr>
        <w:jc w:val="center"/>
        <w:rPr>
          <w:b/>
          <w:bCs/>
          <w:sz w:val="16"/>
          <w:szCs w:val="16"/>
        </w:rPr>
      </w:pPr>
    </w:p>
    <w:p w14:paraId="6CCEAA1C" w14:textId="6180B211" w:rsidR="003E1D07" w:rsidRDefault="004C78AA" w:rsidP="003E1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1D07" w:rsidRPr="006C14E8">
        <w:rPr>
          <w:sz w:val="28"/>
          <w:szCs w:val="28"/>
        </w:rPr>
        <w:t>от «</w:t>
      </w:r>
      <w:r w:rsidRPr="004C78AA">
        <w:rPr>
          <w:sz w:val="28"/>
          <w:szCs w:val="28"/>
          <w:u w:val="single"/>
        </w:rPr>
        <w:t>31</w:t>
      </w:r>
      <w:r w:rsidR="003E1D07" w:rsidRPr="006C14E8">
        <w:rPr>
          <w:sz w:val="28"/>
          <w:szCs w:val="28"/>
        </w:rPr>
        <w:t xml:space="preserve">» </w:t>
      </w:r>
      <w:r w:rsidRPr="004C78AA">
        <w:rPr>
          <w:sz w:val="28"/>
          <w:szCs w:val="28"/>
          <w:u w:val="single"/>
        </w:rPr>
        <w:t>мая</w:t>
      </w:r>
      <w:r>
        <w:rPr>
          <w:sz w:val="28"/>
          <w:szCs w:val="28"/>
        </w:rPr>
        <w:t xml:space="preserve"> </w:t>
      </w:r>
      <w:r w:rsidR="003E1D07" w:rsidRPr="006C14E8">
        <w:rPr>
          <w:sz w:val="28"/>
          <w:szCs w:val="28"/>
        </w:rPr>
        <w:t>20</w:t>
      </w:r>
      <w:r w:rsidR="003E1D07">
        <w:rPr>
          <w:sz w:val="28"/>
          <w:szCs w:val="28"/>
        </w:rPr>
        <w:t xml:space="preserve">21 г.                                                           </w:t>
      </w:r>
      <w:r w:rsidR="003E1D07" w:rsidRPr="006C14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3E1D0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C78AA">
        <w:rPr>
          <w:sz w:val="28"/>
          <w:szCs w:val="28"/>
          <w:u w:val="single"/>
        </w:rPr>
        <w:t>04-29/21</w:t>
      </w:r>
    </w:p>
    <w:p w14:paraId="4F60F1D3" w14:textId="77777777" w:rsidR="003E1D07" w:rsidRPr="003E1D07" w:rsidRDefault="003E1D07" w:rsidP="003E1D07">
      <w:pPr>
        <w:jc w:val="center"/>
        <w:rPr>
          <w:b/>
          <w:bCs/>
          <w:sz w:val="16"/>
          <w:szCs w:val="16"/>
        </w:rPr>
      </w:pPr>
    </w:p>
    <w:p w14:paraId="552A1D05" w14:textId="77777777" w:rsidR="003E1D07" w:rsidRDefault="003E1D07" w:rsidP="003E1D07">
      <w:pPr>
        <w:jc w:val="center"/>
        <w:rPr>
          <w:b/>
          <w:bCs/>
          <w:sz w:val="28"/>
          <w:szCs w:val="28"/>
        </w:rPr>
      </w:pPr>
      <w:r w:rsidRPr="006C14E8">
        <w:rPr>
          <w:b/>
          <w:bCs/>
          <w:sz w:val="28"/>
          <w:szCs w:val="28"/>
        </w:rPr>
        <w:t>г. Махачкала</w:t>
      </w:r>
    </w:p>
    <w:p w14:paraId="4BA81BD6" w14:textId="77777777" w:rsidR="003E1D07" w:rsidRPr="003E1D07" w:rsidRDefault="003E1D07" w:rsidP="003E1D07">
      <w:pPr>
        <w:jc w:val="center"/>
        <w:rPr>
          <w:b/>
          <w:bCs/>
          <w:sz w:val="16"/>
          <w:szCs w:val="16"/>
        </w:rPr>
      </w:pPr>
    </w:p>
    <w:p w14:paraId="725747D8" w14:textId="109C28F4" w:rsidR="004156EC" w:rsidRDefault="00CA1FC4" w:rsidP="00C171E7">
      <w:pPr>
        <w:pStyle w:val="ConsPlusTitle"/>
        <w:jc w:val="center"/>
      </w:pPr>
      <w:r>
        <w:t>Об утверждении П</w:t>
      </w:r>
      <w:r w:rsidR="0002096D">
        <w:t>орядка</w:t>
      </w:r>
      <w:r w:rsidR="00C171E7">
        <w:t xml:space="preserve"> </w:t>
      </w:r>
      <w:r w:rsidR="0002096D">
        <w:t>проведения антикоррупционной экспертизы нормативных</w:t>
      </w:r>
      <w:r w:rsidR="00C171E7">
        <w:t xml:space="preserve"> </w:t>
      </w:r>
      <w:r w:rsidR="0002096D">
        <w:t xml:space="preserve">правовых актов и проектов нормативных правовых актов </w:t>
      </w:r>
    </w:p>
    <w:p w14:paraId="196C2FE5" w14:textId="77777777" w:rsidR="0002096D" w:rsidRDefault="0002096D">
      <w:pPr>
        <w:pStyle w:val="ConsPlusTitle"/>
        <w:jc w:val="center"/>
      </w:pPr>
      <w:r>
        <w:t>Службы государственного финансового контроля Республики Дагестан</w:t>
      </w:r>
    </w:p>
    <w:p w14:paraId="667620CE" w14:textId="77777777" w:rsidR="0002096D" w:rsidRPr="004156EC" w:rsidRDefault="0002096D">
      <w:pPr>
        <w:pStyle w:val="ConsPlusTitle"/>
        <w:jc w:val="center"/>
        <w:rPr>
          <w:sz w:val="16"/>
          <w:szCs w:val="16"/>
        </w:rPr>
      </w:pPr>
    </w:p>
    <w:p w14:paraId="5CD57D04" w14:textId="77777777" w:rsidR="0002096D" w:rsidRPr="0002096D" w:rsidRDefault="0002096D">
      <w:pPr>
        <w:pStyle w:val="ConsPlusNormal"/>
        <w:ind w:firstLine="540"/>
        <w:jc w:val="both"/>
      </w:pPr>
      <w:r w:rsidRPr="0002096D">
        <w:t xml:space="preserve">В соответствии с </w:t>
      </w:r>
      <w:hyperlink r:id="rId7" w:history="1">
        <w:r w:rsidRPr="0002096D">
          <w:t>пунктом 3 части 1 статьи 3</w:t>
        </w:r>
      </w:hyperlink>
      <w:r w:rsidRPr="0002096D">
        <w:t xml:space="preserve"> Федерального закона от 17 июля 2009 г. № 172-ФЗ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2009, N 29, ст. 3609; 2013, N 43, ст. 5449) и </w:t>
      </w:r>
      <w:hyperlink r:id="rId8" w:history="1">
        <w:r w:rsidRPr="0002096D">
          <w:t>постановлением</w:t>
        </w:r>
      </w:hyperlink>
      <w:r w:rsidRPr="0002096D">
        <w:t xml:space="preserve">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N 10, ст. 1084; 2017, N 29, ст. 4374) </w:t>
      </w:r>
    </w:p>
    <w:p w14:paraId="0529D7CD" w14:textId="457D867F" w:rsidR="0002096D" w:rsidRPr="003E1D07" w:rsidRDefault="003E1D07" w:rsidP="00C171E7">
      <w:pPr>
        <w:pStyle w:val="ConsPlusNormal"/>
        <w:ind w:firstLine="539"/>
        <w:jc w:val="both"/>
        <w:rPr>
          <w:b/>
          <w:bCs/>
        </w:rPr>
      </w:pPr>
      <w:r>
        <w:rPr>
          <w:b/>
          <w:bCs/>
        </w:rPr>
        <w:t xml:space="preserve">п </w:t>
      </w:r>
      <w:r w:rsidRPr="003E1D07">
        <w:rPr>
          <w:b/>
          <w:bCs/>
        </w:rPr>
        <w:t>р</w:t>
      </w:r>
      <w:r>
        <w:rPr>
          <w:b/>
          <w:bCs/>
        </w:rPr>
        <w:t xml:space="preserve"> </w:t>
      </w:r>
      <w:r w:rsidRPr="003E1D07">
        <w:rPr>
          <w:b/>
          <w:bCs/>
        </w:rPr>
        <w:t>и</w:t>
      </w:r>
      <w:r>
        <w:rPr>
          <w:b/>
          <w:bCs/>
        </w:rPr>
        <w:t xml:space="preserve"> </w:t>
      </w:r>
      <w:r w:rsidRPr="003E1D07">
        <w:rPr>
          <w:b/>
          <w:bCs/>
        </w:rPr>
        <w:t>к</w:t>
      </w:r>
      <w:r>
        <w:rPr>
          <w:b/>
          <w:bCs/>
        </w:rPr>
        <w:t xml:space="preserve"> </w:t>
      </w:r>
      <w:r w:rsidRPr="003E1D07">
        <w:rPr>
          <w:b/>
          <w:bCs/>
        </w:rPr>
        <w:t>а</w:t>
      </w:r>
      <w:r>
        <w:rPr>
          <w:b/>
          <w:bCs/>
        </w:rPr>
        <w:t xml:space="preserve"> </w:t>
      </w:r>
      <w:r w:rsidRPr="003E1D07">
        <w:rPr>
          <w:b/>
          <w:bCs/>
        </w:rPr>
        <w:t>з</w:t>
      </w:r>
      <w:r>
        <w:rPr>
          <w:b/>
          <w:bCs/>
        </w:rPr>
        <w:t xml:space="preserve"> </w:t>
      </w:r>
      <w:r w:rsidRPr="003E1D07">
        <w:rPr>
          <w:b/>
          <w:bCs/>
        </w:rPr>
        <w:t>ы</w:t>
      </w:r>
      <w:r>
        <w:rPr>
          <w:b/>
          <w:bCs/>
        </w:rPr>
        <w:t xml:space="preserve"> </w:t>
      </w:r>
      <w:r w:rsidRPr="003E1D07">
        <w:rPr>
          <w:b/>
          <w:bCs/>
        </w:rPr>
        <w:t>в</w:t>
      </w:r>
      <w:r>
        <w:rPr>
          <w:b/>
          <w:bCs/>
        </w:rPr>
        <w:t xml:space="preserve"> </w:t>
      </w:r>
      <w:r w:rsidRPr="003E1D07">
        <w:rPr>
          <w:b/>
          <w:bCs/>
        </w:rPr>
        <w:t>а</w:t>
      </w:r>
      <w:r>
        <w:rPr>
          <w:b/>
          <w:bCs/>
        </w:rPr>
        <w:t xml:space="preserve"> </w:t>
      </w:r>
      <w:r w:rsidRPr="003E1D07">
        <w:rPr>
          <w:b/>
          <w:bCs/>
        </w:rPr>
        <w:t>ю:</w:t>
      </w:r>
    </w:p>
    <w:p w14:paraId="314882AE" w14:textId="77777777" w:rsidR="0002096D" w:rsidRDefault="0002096D" w:rsidP="00C171E7">
      <w:pPr>
        <w:pStyle w:val="ConsPlusNormal"/>
        <w:ind w:firstLine="539"/>
        <w:jc w:val="both"/>
      </w:pPr>
      <w:r w:rsidRPr="0002096D">
        <w:t xml:space="preserve">1. Утвердить прилагаемый </w:t>
      </w:r>
      <w:hyperlink w:anchor="P32" w:history="1">
        <w:r w:rsidRPr="0002096D">
          <w:t>Порядок</w:t>
        </w:r>
      </w:hyperlink>
      <w:r w:rsidRPr="0002096D">
        <w:t xml:space="preserve"> проведения антикоррупционной экспертизы нормативных правовых актов и проектов </w:t>
      </w:r>
      <w:r>
        <w:t xml:space="preserve">нормативных правовых актов Службы государственного финансового контроля республики Дагестан. </w:t>
      </w:r>
    </w:p>
    <w:p w14:paraId="45CA1152" w14:textId="7B9D88EE" w:rsidR="001E7D75" w:rsidRDefault="001E7D75" w:rsidP="001E7D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1D07">
        <w:rPr>
          <w:sz w:val="28"/>
          <w:szCs w:val="28"/>
        </w:rPr>
        <w:t xml:space="preserve"> </w:t>
      </w:r>
      <w:r>
        <w:rPr>
          <w:sz w:val="28"/>
          <w:szCs w:val="28"/>
        </w:rPr>
        <w:t>2.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14:paraId="740754E5" w14:textId="659B07A6" w:rsidR="001E7D75" w:rsidRPr="00C61BA4" w:rsidRDefault="001E7D75" w:rsidP="001E7D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1D07">
        <w:rPr>
          <w:sz w:val="28"/>
          <w:szCs w:val="28"/>
        </w:rPr>
        <w:t xml:space="preserve"> </w:t>
      </w:r>
      <w:r>
        <w:rPr>
          <w:sz w:val="28"/>
          <w:szCs w:val="28"/>
        </w:rPr>
        <w:t>3. Административно-правовому отделу разместить настоящий приказ на официальном сайте Службы государственного финансового контроля Республики Дагестан в информационно-телекоммуникационной сети «Интернет».</w:t>
      </w:r>
    </w:p>
    <w:p w14:paraId="5850DACA" w14:textId="07814872" w:rsidR="001E7D75" w:rsidRDefault="001E7D75" w:rsidP="001E7D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1D0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C61BA4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Настоящий приказ вступает в силу в установленном законодательством порядке.</w:t>
      </w:r>
    </w:p>
    <w:p w14:paraId="30E64C21" w14:textId="05C4E86D" w:rsidR="0002096D" w:rsidRDefault="001E7D75" w:rsidP="001E7D75">
      <w:pPr>
        <w:pStyle w:val="ConsPlusNormal"/>
        <w:jc w:val="both"/>
      </w:pPr>
      <w:r>
        <w:t xml:space="preserve">       </w:t>
      </w:r>
      <w:r w:rsidR="003E1D07">
        <w:t xml:space="preserve"> </w:t>
      </w:r>
      <w:r>
        <w:t>5</w:t>
      </w:r>
      <w:r w:rsidR="0002096D">
        <w:t xml:space="preserve">. Контроль за исполнением настоящего приказа возложить на </w:t>
      </w:r>
      <w:r w:rsidR="0002096D" w:rsidRPr="00AC3555">
        <w:t xml:space="preserve">первого заместителя руководителя Службы государственного финансового контроля Республики Дагестан </w:t>
      </w:r>
      <w:proofErr w:type="spellStart"/>
      <w:r w:rsidR="0002096D" w:rsidRPr="00AC3555">
        <w:t>Никатуева</w:t>
      </w:r>
      <w:proofErr w:type="spellEnd"/>
      <w:r w:rsidR="0002096D" w:rsidRPr="00AC3555">
        <w:t xml:space="preserve"> М.Ш.</w:t>
      </w:r>
    </w:p>
    <w:p w14:paraId="0E03522D" w14:textId="77777777" w:rsidR="0002096D" w:rsidRPr="00C171E7" w:rsidRDefault="0002096D" w:rsidP="00C171E7">
      <w:pPr>
        <w:pStyle w:val="ConsPlusNormal"/>
        <w:ind w:firstLine="539"/>
        <w:rPr>
          <w:szCs w:val="28"/>
        </w:rPr>
      </w:pPr>
    </w:p>
    <w:p w14:paraId="30744710" w14:textId="77777777" w:rsidR="004156EC" w:rsidRPr="00C171E7" w:rsidRDefault="004156EC" w:rsidP="00C171E7">
      <w:pPr>
        <w:pStyle w:val="ConsPlusNormal"/>
        <w:rPr>
          <w:szCs w:val="28"/>
        </w:rPr>
      </w:pPr>
    </w:p>
    <w:p w14:paraId="77D70BEC" w14:textId="77777777" w:rsidR="004156EC" w:rsidRPr="00C171E7" w:rsidRDefault="004156EC" w:rsidP="00C171E7">
      <w:pPr>
        <w:pStyle w:val="ConsPlusNormal"/>
        <w:ind w:firstLine="539"/>
        <w:rPr>
          <w:szCs w:val="28"/>
        </w:rPr>
      </w:pPr>
    </w:p>
    <w:p w14:paraId="0FF15825" w14:textId="2186DBD9" w:rsidR="0002096D" w:rsidRPr="0002096D" w:rsidRDefault="0002096D" w:rsidP="0002096D">
      <w:pPr>
        <w:pStyle w:val="ConsPlusNormal"/>
        <w:rPr>
          <w:b/>
        </w:rPr>
      </w:pPr>
      <w:r w:rsidRPr="0002096D">
        <w:rPr>
          <w:b/>
        </w:rPr>
        <w:t xml:space="preserve">Руководитель </w:t>
      </w:r>
      <w:r>
        <w:rPr>
          <w:b/>
        </w:rPr>
        <w:t xml:space="preserve">                                                                              </w:t>
      </w:r>
      <w:r w:rsidR="00C171E7">
        <w:rPr>
          <w:b/>
        </w:rPr>
        <w:t xml:space="preserve">             </w:t>
      </w:r>
      <w:r>
        <w:rPr>
          <w:b/>
        </w:rPr>
        <w:t xml:space="preserve"> </w:t>
      </w:r>
      <w:r w:rsidRPr="0002096D">
        <w:rPr>
          <w:b/>
        </w:rPr>
        <w:t>М.</w:t>
      </w:r>
      <w:r>
        <w:rPr>
          <w:b/>
        </w:rPr>
        <w:t xml:space="preserve"> </w:t>
      </w:r>
      <w:r w:rsidRPr="0002096D">
        <w:rPr>
          <w:b/>
        </w:rPr>
        <w:t>Ибрагимов</w:t>
      </w:r>
    </w:p>
    <w:p w14:paraId="3C4B7504" w14:textId="77777777" w:rsidR="003E1D07" w:rsidRDefault="003E1D07" w:rsidP="004156EC">
      <w:pPr>
        <w:pStyle w:val="ConsPlusNormal"/>
        <w:jc w:val="right"/>
        <w:rPr>
          <w:sz w:val="24"/>
          <w:szCs w:val="24"/>
        </w:rPr>
      </w:pPr>
    </w:p>
    <w:p w14:paraId="016C1C2F" w14:textId="590BFF3C" w:rsidR="0002096D" w:rsidRPr="004156EC" w:rsidRDefault="004156EC" w:rsidP="004156EC">
      <w:pPr>
        <w:pStyle w:val="ConsPlusNormal"/>
        <w:jc w:val="right"/>
        <w:rPr>
          <w:sz w:val="24"/>
          <w:szCs w:val="24"/>
        </w:rPr>
      </w:pPr>
      <w:r w:rsidRPr="004156EC">
        <w:rPr>
          <w:sz w:val="24"/>
          <w:szCs w:val="24"/>
        </w:rPr>
        <w:t>Приложение</w:t>
      </w:r>
    </w:p>
    <w:p w14:paraId="2B81E934" w14:textId="77777777" w:rsidR="0002096D" w:rsidRDefault="0002096D">
      <w:pPr>
        <w:pStyle w:val="ConsPlusNormal"/>
        <w:jc w:val="both"/>
      </w:pPr>
    </w:p>
    <w:p w14:paraId="31DC373A" w14:textId="77777777" w:rsidR="0002096D" w:rsidRPr="0002096D" w:rsidRDefault="0002096D" w:rsidP="0002096D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02096D">
        <w:rPr>
          <w:sz w:val="24"/>
          <w:szCs w:val="24"/>
        </w:rPr>
        <w:t>Утвержден</w:t>
      </w:r>
    </w:p>
    <w:p w14:paraId="683F680C" w14:textId="77777777" w:rsidR="0002096D" w:rsidRDefault="0002096D" w:rsidP="0002096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4156EC">
        <w:rPr>
          <w:sz w:val="24"/>
          <w:szCs w:val="24"/>
        </w:rPr>
        <w:t xml:space="preserve">                             </w:t>
      </w:r>
      <w:r w:rsidRPr="0002096D">
        <w:rPr>
          <w:sz w:val="24"/>
          <w:szCs w:val="24"/>
        </w:rPr>
        <w:t>приказом Службы государственного</w:t>
      </w:r>
    </w:p>
    <w:p w14:paraId="638790DA" w14:textId="77777777" w:rsidR="0002096D" w:rsidRDefault="0002096D" w:rsidP="0002096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02096D">
        <w:rPr>
          <w:sz w:val="24"/>
          <w:szCs w:val="24"/>
        </w:rPr>
        <w:t>финансового контроля</w:t>
      </w:r>
    </w:p>
    <w:p w14:paraId="62CCE059" w14:textId="77777777" w:rsidR="0002096D" w:rsidRPr="0002096D" w:rsidRDefault="0002096D" w:rsidP="0002096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02096D">
        <w:rPr>
          <w:sz w:val="24"/>
          <w:szCs w:val="24"/>
        </w:rPr>
        <w:t>Республики Дагестан</w:t>
      </w:r>
    </w:p>
    <w:p w14:paraId="68C79869" w14:textId="6321971A" w:rsidR="0002096D" w:rsidRPr="0002096D" w:rsidRDefault="0002096D" w:rsidP="0002096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4156EC">
        <w:rPr>
          <w:sz w:val="24"/>
          <w:szCs w:val="24"/>
        </w:rPr>
        <w:t xml:space="preserve"> </w:t>
      </w:r>
      <w:r w:rsidRPr="0002096D">
        <w:rPr>
          <w:sz w:val="24"/>
          <w:szCs w:val="24"/>
        </w:rPr>
        <w:t>от «</w:t>
      </w:r>
      <w:r w:rsidR="004C78AA">
        <w:rPr>
          <w:sz w:val="24"/>
          <w:szCs w:val="24"/>
        </w:rPr>
        <w:t>31</w:t>
      </w:r>
      <w:r w:rsidRPr="0002096D">
        <w:rPr>
          <w:sz w:val="24"/>
          <w:szCs w:val="24"/>
        </w:rPr>
        <w:t xml:space="preserve">» </w:t>
      </w:r>
      <w:r w:rsidR="004C78AA">
        <w:rPr>
          <w:sz w:val="24"/>
          <w:szCs w:val="24"/>
        </w:rPr>
        <w:t xml:space="preserve">мая </w:t>
      </w:r>
      <w:r w:rsidRPr="0002096D">
        <w:rPr>
          <w:sz w:val="24"/>
          <w:szCs w:val="24"/>
        </w:rPr>
        <w:t>2021 г. №</w:t>
      </w:r>
      <w:r w:rsidR="004C78AA">
        <w:rPr>
          <w:sz w:val="24"/>
          <w:szCs w:val="24"/>
        </w:rPr>
        <w:t>04-29/21</w:t>
      </w:r>
    </w:p>
    <w:p w14:paraId="4C2EEB6E" w14:textId="77777777" w:rsidR="0002096D" w:rsidRPr="001E7D75" w:rsidRDefault="0002096D" w:rsidP="0002096D">
      <w:pPr>
        <w:pStyle w:val="ConsPlusNormal"/>
        <w:jc w:val="center"/>
        <w:rPr>
          <w:sz w:val="16"/>
          <w:szCs w:val="16"/>
        </w:rPr>
      </w:pPr>
    </w:p>
    <w:p w14:paraId="3F0ABB65" w14:textId="77777777" w:rsidR="0002096D" w:rsidRPr="0002096D" w:rsidRDefault="0002096D" w:rsidP="0002096D">
      <w:pPr>
        <w:pStyle w:val="ConsPlusTitle"/>
        <w:jc w:val="center"/>
      </w:pPr>
      <w:bookmarkStart w:id="0" w:name="P32"/>
      <w:bookmarkEnd w:id="0"/>
      <w:r>
        <w:t>П</w:t>
      </w:r>
      <w:r w:rsidRPr="0002096D">
        <w:t>орядок</w:t>
      </w:r>
    </w:p>
    <w:p w14:paraId="19C3E2C4" w14:textId="77777777" w:rsidR="0002096D" w:rsidRPr="0002096D" w:rsidRDefault="0002096D" w:rsidP="0002096D">
      <w:pPr>
        <w:pStyle w:val="ConsPlusTitle"/>
        <w:jc w:val="center"/>
      </w:pPr>
      <w:r w:rsidRPr="0002096D">
        <w:t>проведения антикоррупционной экспертизы нормативных</w:t>
      </w:r>
    </w:p>
    <w:p w14:paraId="0ADF4136" w14:textId="77777777" w:rsidR="0002096D" w:rsidRPr="0002096D" w:rsidRDefault="0002096D" w:rsidP="0002096D">
      <w:pPr>
        <w:pStyle w:val="ConsPlusTitle"/>
        <w:jc w:val="center"/>
      </w:pPr>
      <w:r w:rsidRPr="0002096D">
        <w:t>правовых актов и проектов нормативных правовых актов</w:t>
      </w:r>
    </w:p>
    <w:p w14:paraId="31D57D73" w14:textId="77777777" w:rsidR="0002096D" w:rsidRPr="0002096D" w:rsidRDefault="0002096D" w:rsidP="0002096D">
      <w:pPr>
        <w:pStyle w:val="ConsPlusNormal"/>
        <w:ind w:firstLine="540"/>
        <w:jc w:val="both"/>
        <w:rPr>
          <w:b/>
        </w:rPr>
      </w:pPr>
      <w:r>
        <w:rPr>
          <w:b/>
        </w:rPr>
        <w:t>С</w:t>
      </w:r>
      <w:r w:rsidRPr="0002096D">
        <w:rPr>
          <w:b/>
        </w:rPr>
        <w:t>лужбы государ</w:t>
      </w:r>
      <w:r>
        <w:rPr>
          <w:b/>
        </w:rPr>
        <w:t>ственного финансового контроля Р</w:t>
      </w:r>
      <w:r w:rsidRPr="0002096D">
        <w:rPr>
          <w:b/>
        </w:rPr>
        <w:t xml:space="preserve">еспублики Дагестан. </w:t>
      </w:r>
    </w:p>
    <w:p w14:paraId="663A6D88" w14:textId="77777777" w:rsidR="0002096D" w:rsidRPr="001E7D75" w:rsidRDefault="0002096D">
      <w:pPr>
        <w:pStyle w:val="ConsPlusTitle"/>
        <w:jc w:val="center"/>
        <w:outlineLvl w:val="1"/>
        <w:rPr>
          <w:sz w:val="16"/>
          <w:szCs w:val="16"/>
        </w:rPr>
      </w:pPr>
    </w:p>
    <w:p w14:paraId="6A88E28E" w14:textId="77777777" w:rsidR="0002096D" w:rsidRDefault="0002096D">
      <w:pPr>
        <w:pStyle w:val="ConsPlusTitle"/>
        <w:jc w:val="center"/>
        <w:outlineLvl w:val="1"/>
      </w:pPr>
      <w:r>
        <w:t>I. Общие положения</w:t>
      </w:r>
    </w:p>
    <w:p w14:paraId="20684DDC" w14:textId="77777777" w:rsidR="0002096D" w:rsidRPr="001E7D75" w:rsidRDefault="0002096D">
      <w:pPr>
        <w:pStyle w:val="ConsPlusNormal"/>
        <w:jc w:val="both"/>
        <w:rPr>
          <w:sz w:val="16"/>
          <w:szCs w:val="16"/>
        </w:rPr>
      </w:pPr>
    </w:p>
    <w:p w14:paraId="5C7FB674" w14:textId="77777777" w:rsidR="0002096D" w:rsidRDefault="0002096D" w:rsidP="001E7D75">
      <w:pPr>
        <w:pStyle w:val="ConsPlusNormal"/>
        <w:ind w:firstLine="539"/>
        <w:jc w:val="both"/>
      </w:pPr>
      <w:r>
        <w:t xml:space="preserve">1. Настоящий Порядок проведения антикоррупционной экспертизы нормативных правовых актов и проектов нормативных правовых актов </w:t>
      </w:r>
      <w:r w:rsidRPr="0002096D">
        <w:t xml:space="preserve">Службы государственного финансового контроля республики Дагестан. </w:t>
      </w:r>
      <w:r>
        <w:t>(далее - Служба) определяет процедуру проведения антикоррупционной экспертизы нормативных правовых актов и проектов нормативных правовых актов Службы в целях выявления в них коррупциогенных факторов и их последующего устранения.</w:t>
      </w:r>
    </w:p>
    <w:p w14:paraId="2A876F90" w14:textId="77777777" w:rsidR="0002096D" w:rsidRDefault="0002096D" w:rsidP="001E7D75">
      <w:pPr>
        <w:pStyle w:val="ConsPlusNormal"/>
        <w:ind w:firstLine="539"/>
        <w:jc w:val="both"/>
      </w:pPr>
      <w:r>
        <w:t xml:space="preserve">2. Антикоррупционная экспертиза нормативных правовых актов и проектов нормативных правовых актов Службы проводится административно-правовым отделом (далее - Отдел) в соответствии с </w:t>
      </w:r>
      <w:hyperlink r:id="rId9" w:history="1">
        <w:r w:rsidRPr="001E7D75"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№96 (Собрание законодательства Российской Федерации, 2010, № 10, ст. 1084; 2015, № 30, ст. 4604) (далее - Методика), и настоящим Порядком.</w:t>
      </w:r>
    </w:p>
    <w:p w14:paraId="28CF9E9C" w14:textId="77777777" w:rsidR="0002096D" w:rsidRDefault="0002096D">
      <w:pPr>
        <w:pStyle w:val="ConsPlusNormal"/>
        <w:jc w:val="both"/>
      </w:pPr>
    </w:p>
    <w:p w14:paraId="4004A276" w14:textId="77777777" w:rsidR="0002096D" w:rsidRDefault="0002096D">
      <w:pPr>
        <w:pStyle w:val="ConsPlusTitle"/>
        <w:jc w:val="center"/>
        <w:outlineLvl w:val="1"/>
      </w:pPr>
      <w:bookmarkStart w:id="1" w:name="P42"/>
      <w:bookmarkEnd w:id="1"/>
      <w:r>
        <w:t>II. Антикоррупционная экспертиза проектов нормативных</w:t>
      </w:r>
    </w:p>
    <w:p w14:paraId="0CD94FE7" w14:textId="77777777" w:rsidR="0002096D" w:rsidRDefault="0002096D">
      <w:pPr>
        <w:pStyle w:val="ConsPlusTitle"/>
        <w:jc w:val="center"/>
      </w:pPr>
      <w:r>
        <w:t>правовых актов Службы</w:t>
      </w:r>
    </w:p>
    <w:p w14:paraId="07DB0BE4" w14:textId="77777777" w:rsidR="0002096D" w:rsidRPr="001E7D75" w:rsidRDefault="0002096D">
      <w:pPr>
        <w:pStyle w:val="ConsPlusNormal"/>
        <w:jc w:val="both"/>
        <w:rPr>
          <w:sz w:val="16"/>
          <w:szCs w:val="16"/>
        </w:rPr>
      </w:pPr>
    </w:p>
    <w:p w14:paraId="7963DB6D" w14:textId="77777777" w:rsidR="0002096D" w:rsidRDefault="0002096D" w:rsidP="001E7D75">
      <w:pPr>
        <w:pStyle w:val="ConsPlusNormal"/>
        <w:ind w:firstLine="539"/>
        <w:jc w:val="both"/>
      </w:pPr>
      <w:r>
        <w:t>3. Проект нормативного правового акта Службы (далее - проект акта), разработанный структурным подразделением Службы, ответственным за его подготовку (далее - ответственное структурное подразделение), согласованный с заинтересованными структурными подразделениями Службы, направляется в Отдел для проведения его антикоррупционной экспертизы.</w:t>
      </w:r>
    </w:p>
    <w:p w14:paraId="06E5EE3F" w14:textId="77777777" w:rsidR="0002096D" w:rsidRDefault="0002096D" w:rsidP="001E7D75">
      <w:pPr>
        <w:pStyle w:val="ConsPlusNormal"/>
        <w:ind w:firstLine="539"/>
        <w:jc w:val="both"/>
      </w:pPr>
      <w:bookmarkStart w:id="2" w:name="P46"/>
      <w:bookmarkEnd w:id="2"/>
      <w:r>
        <w:t>4. Антикоррупционная экспертиза проектов актов проводится Отделом при проведении их правовой экспертизы в срок до 15 рабочих дней со дня поступления проекта акта в Отдел.</w:t>
      </w:r>
    </w:p>
    <w:p w14:paraId="3DF18DED" w14:textId="77777777" w:rsidR="0002096D" w:rsidRDefault="0002096D" w:rsidP="001E7D75">
      <w:pPr>
        <w:pStyle w:val="ConsPlusNormal"/>
        <w:ind w:firstLine="539"/>
        <w:jc w:val="both"/>
      </w:pPr>
      <w:r>
        <w:t>5. При проведении антикоррупционной экспертизы проекта акта работник Отдела, проводящий антикоррупционную экспертизу, может привлекать работников ответственного структурного подразделения для дачи соответствующих пояснений.</w:t>
      </w:r>
    </w:p>
    <w:p w14:paraId="76DE88EC" w14:textId="5B7196AE" w:rsidR="0002096D" w:rsidRDefault="0002096D" w:rsidP="001E7D75">
      <w:pPr>
        <w:pStyle w:val="ConsPlusNormal"/>
        <w:ind w:firstLine="539"/>
        <w:jc w:val="both"/>
      </w:pPr>
      <w:r>
        <w:t xml:space="preserve">6. По результатам проведения правовой и антикоррупционной экспертиз проекта </w:t>
      </w:r>
      <w:r w:rsidR="008A6170">
        <w:t>акта Отдел</w:t>
      </w:r>
      <w:r>
        <w:t xml:space="preserve"> готовит заключение, которое подписывается начальником </w:t>
      </w:r>
      <w:r w:rsidR="003F3DDA">
        <w:t xml:space="preserve">Отдела </w:t>
      </w:r>
      <w:r>
        <w:t xml:space="preserve">(лицом, исполняющим его обязанности) (далее - заключение), и направляет его в </w:t>
      </w:r>
      <w:r>
        <w:lastRenderedPageBreak/>
        <w:t>ответственное структурное подразделение.</w:t>
      </w:r>
    </w:p>
    <w:p w14:paraId="5237BF0B" w14:textId="77777777" w:rsidR="0002096D" w:rsidRPr="008A6170" w:rsidRDefault="0002096D" w:rsidP="001E7D75">
      <w:pPr>
        <w:pStyle w:val="ConsPlusNormal"/>
        <w:ind w:firstLine="539"/>
        <w:jc w:val="both"/>
      </w:pPr>
      <w:bookmarkStart w:id="3" w:name="P49"/>
      <w:bookmarkEnd w:id="3"/>
      <w:r>
        <w:t xml:space="preserve">7. В случае выявления в проекте акта коррупциогенных факторов в заключении отражаются все положения, способствующие созданию условий для проявления коррупции, выявленные при проведении антикоррупционной экспертизы проекта акта, с указанием структурных единиц проекта акта (глав, пунктов, подпунктов, абзацев), в которых они содержатся, и соответствующих коррупциогенных факторов в соответствии с </w:t>
      </w:r>
      <w:hyperlink r:id="rId10" w:history="1">
        <w:r w:rsidRPr="008A6170">
          <w:t>Методикой</w:t>
        </w:r>
      </w:hyperlink>
      <w:r w:rsidRPr="008A6170">
        <w:t>.</w:t>
      </w:r>
    </w:p>
    <w:p w14:paraId="3FA8E5D5" w14:textId="77777777" w:rsidR="0002096D" w:rsidRDefault="0002096D" w:rsidP="001E7D75">
      <w:pPr>
        <w:pStyle w:val="ConsPlusNormal"/>
        <w:ind w:firstLine="539"/>
        <w:jc w:val="both"/>
      </w:pPr>
      <w:r>
        <w:t>8. Коррупциогенные факторы, выявленные при проведении антикоррупционной экспертизы проекта акта, подлежат устранению ответственным структурным подразделением, после чего доработанный проек</w:t>
      </w:r>
      <w:r w:rsidR="008A6170">
        <w:t>т акта направляется в Отдел</w:t>
      </w:r>
      <w:r>
        <w:t xml:space="preserve"> для проведения его повторной антикоррупционной экспертизы в соответствии с </w:t>
      </w:r>
      <w:hyperlink w:anchor="P46" w:history="1">
        <w:r w:rsidRPr="008A6170">
          <w:t>пунктами 4</w:t>
        </w:r>
      </w:hyperlink>
      <w:r w:rsidRPr="008A6170">
        <w:t xml:space="preserve"> - </w:t>
      </w:r>
      <w:hyperlink w:anchor="P49" w:history="1">
        <w:r w:rsidRPr="008A6170">
          <w:t>7</w:t>
        </w:r>
      </w:hyperlink>
      <w:r>
        <w:t xml:space="preserve"> настоящего Порядка.</w:t>
      </w:r>
    </w:p>
    <w:p w14:paraId="4D85F83E" w14:textId="77777777" w:rsidR="0002096D" w:rsidRDefault="0002096D" w:rsidP="001E7D75">
      <w:pPr>
        <w:pStyle w:val="ConsPlusNormal"/>
        <w:ind w:firstLine="539"/>
        <w:jc w:val="both"/>
      </w:pPr>
      <w:r>
        <w:t>9. В случае несогласия с выводами, содержащимися в заключении, ответственное структурное подразделение прилагает к проекту акта, представляемому на подпись руководителю Службы, заключение и мотивированное обоснование несогласия с выводами, содержащимися в заключении, согласованные с заместителем руководителя Службы, курирующим ответственное структурное подразделение (при наличии), для принятия руководителем Службы решения об утверждении проекта акта либо о необходимости его доработки.</w:t>
      </w:r>
    </w:p>
    <w:p w14:paraId="27913087" w14:textId="77777777" w:rsidR="0002096D" w:rsidRDefault="0002096D" w:rsidP="001E7D75">
      <w:pPr>
        <w:pStyle w:val="ConsPlusNormal"/>
        <w:ind w:firstLine="539"/>
        <w:jc w:val="both"/>
      </w:pPr>
      <w:r>
        <w:t>10. В случае, если в проекте акта коррупциогенн</w:t>
      </w:r>
      <w:r w:rsidR="00244A0F">
        <w:t>ые факторы не выявлены, Отдел</w:t>
      </w:r>
      <w:r>
        <w:t xml:space="preserve"> готовит заключение, в котором указывается на отсутствие в проекте акта коррупциогенных факторов, либо в случае отсутствия иных </w:t>
      </w:r>
      <w:r w:rsidR="00244A0F">
        <w:t>замечаний начальником Отдела</w:t>
      </w:r>
      <w:r>
        <w:t xml:space="preserve"> (лицом, исполняющим его обязанности) на оборотной стороне последнего листа подлинника проекта акта проставляется штамп</w:t>
      </w:r>
      <w:r w:rsidR="00244A0F">
        <w:t xml:space="preserve"> или печать</w:t>
      </w:r>
      <w:r>
        <w:t xml:space="preserve">, подтверждающий проведение его антикоррупционной экспертизы, заверенный подписью начальника </w:t>
      </w:r>
      <w:r w:rsidR="00244A0F">
        <w:t xml:space="preserve">Отдела </w:t>
      </w:r>
      <w:r>
        <w:t>(лица, исполняющего его обязанности).</w:t>
      </w:r>
    </w:p>
    <w:p w14:paraId="07FF61E5" w14:textId="77777777" w:rsidR="0002096D" w:rsidRDefault="0002096D">
      <w:pPr>
        <w:pStyle w:val="ConsPlusNormal"/>
        <w:jc w:val="both"/>
      </w:pPr>
    </w:p>
    <w:p w14:paraId="6B5B402B" w14:textId="77777777" w:rsidR="0002096D" w:rsidRDefault="0002096D">
      <w:pPr>
        <w:pStyle w:val="ConsPlusTitle"/>
        <w:jc w:val="center"/>
        <w:outlineLvl w:val="1"/>
      </w:pPr>
      <w:r>
        <w:t>III. Обеспечение проведения независимой антикоррупционной</w:t>
      </w:r>
    </w:p>
    <w:p w14:paraId="26B99162" w14:textId="77777777" w:rsidR="0002096D" w:rsidRDefault="0002096D">
      <w:pPr>
        <w:pStyle w:val="ConsPlusTitle"/>
        <w:jc w:val="center"/>
      </w:pPr>
      <w:r>
        <w:t>экспертизы проектов актов</w:t>
      </w:r>
    </w:p>
    <w:p w14:paraId="380B1579" w14:textId="77777777" w:rsidR="0002096D" w:rsidRPr="001E7D75" w:rsidRDefault="0002096D">
      <w:pPr>
        <w:pStyle w:val="ConsPlusNormal"/>
        <w:jc w:val="both"/>
        <w:rPr>
          <w:sz w:val="16"/>
          <w:szCs w:val="16"/>
        </w:rPr>
      </w:pPr>
    </w:p>
    <w:p w14:paraId="1C4397A1" w14:textId="77777777" w:rsidR="0002096D" w:rsidRDefault="0002096D">
      <w:pPr>
        <w:pStyle w:val="ConsPlusNormal"/>
        <w:ind w:firstLine="540"/>
        <w:jc w:val="both"/>
      </w:pPr>
      <w:r>
        <w:t>11. В целях обеспечения проведения независимой антикоррупционной экспертизы проекта акта, затрагивающего права, свободы и обязанности человека и гражданина, устанавливающего правовой статус организаций или имеющего межведомственный характер, ответственное структурное подразделение в течение одного рабочего дня, соответствующего дню направления указанного проекта акта на антикоррупционную экспертизу в</w:t>
      </w:r>
      <w:r w:rsidR="00244A0F">
        <w:t xml:space="preserve"> Отдел</w:t>
      </w:r>
      <w:r>
        <w:t>, размещает проект акта на официальном сайте в информационно-телекоммуникационной с</w:t>
      </w:r>
      <w:r w:rsidR="00244A0F">
        <w:t>ети «Интернет»</w:t>
      </w:r>
      <w:r>
        <w:t xml:space="preserve"> с указанием дат начала и окончания приема заключений по результатам независимой антикоррупционной экспертизы </w:t>
      </w:r>
      <w:r w:rsidRPr="00244A0F">
        <w:rPr>
          <w:vertAlign w:val="superscript"/>
        </w:rPr>
        <w:t>&lt;1&gt;.</w:t>
      </w:r>
    </w:p>
    <w:p w14:paraId="681CB8B4" w14:textId="77777777" w:rsidR="0002096D" w:rsidRDefault="0002096D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30E6BA97" w14:textId="77777777" w:rsidR="0002096D" w:rsidRPr="00244A0F" w:rsidRDefault="0002096D" w:rsidP="004156EC">
      <w:pPr>
        <w:pStyle w:val="ConsPlusNormal"/>
        <w:ind w:firstLine="539"/>
        <w:jc w:val="both"/>
        <w:rPr>
          <w:sz w:val="22"/>
          <w:szCs w:val="22"/>
        </w:rPr>
      </w:pPr>
      <w:r w:rsidRPr="00244A0F">
        <w:rPr>
          <w:sz w:val="22"/>
          <w:szCs w:val="22"/>
        </w:rPr>
        <w:t xml:space="preserve">&lt;1&gt; </w:t>
      </w:r>
      <w:hyperlink r:id="rId11" w:history="1">
        <w:r w:rsidRPr="00244A0F">
          <w:rPr>
            <w:sz w:val="22"/>
            <w:szCs w:val="22"/>
          </w:rPr>
          <w:t>Абзац первый пункта 6</w:t>
        </w:r>
      </w:hyperlink>
      <w:r w:rsidRPr="00244A0F">
        <w:rPr>
          <w:sz w:val="22"/>
          <w:szCs w:val="22"/>
        </w:rPr>
        <w:t xml:space="preserve">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</w:t>
      </w:r>
      <w:r w:rsidR="00244A0F" w:rsidRPr="00244A0F">
        <w:rPr>
          <w:sz w:val="22"/>
          <w:szCs w:val="22"/>
        </w:rPr>
        <w:t>ации от 26 февраля 2010 г. №</w:t>
      </w:r>
      <w:r w:rsidRPr="00244A0F">
        <w:rPr>
          <w:sz w:val="22"/>
          <w:szCs w:val="22"/>
        </w:rPr>
        <w:t xml:space="preserve"> 96 (Собрание законодательст</w:t>
      </w:r>
      <w:r w:rsidR="00244A0F" w:rsidRPr="00244A0F">
        <w:rPr>
          <w:sz w:val="22"/>
          <w:szCs w:val="22"/>
        </w:rPr>
        <w:t>ва Российской Федерации, 2010, № 10, ст. 1084; 2017, №</w:t>
      </w:r>
      <w:r w:rsidRPr="00244A0F">
        <w:rPr>
          <w:sz w:val="22"/>
          <w:szCs w:val="22"/>
        </w:rPr>
        <w:t xml:space="preserve"> 29, ст. 4374) (далее - Правила проведения экспертизы).</w:t>
      </w:r>
    </w:p>
    <w:p w14:paraId="1E910D99" w14:textId="77777777" w:rsidR="001E7D75" w:rsidRDefault="001E7D75" w:rsidP="004156EC">
      <w:pPr>
        <w:pStyle w:val="ConsPlusNormal"/>
        <w:jc w:val="both"/>
      </w:pPr>
    </w:p>
    <w:p w14:paraId="3DC358C9" w14:textId="77777777" w:rsidR="004156EC" w:rsidRDefault="004156EC">
      <w:pPr>
        <w:pStyle w:val="ConsPlusNormal"/>
        <w:ind w:firstLine="540"/>
        <w:jc w:val="both"/>
      </w:pPr>
    </w:p>
    <w:p w14:paraId="0A31E553" w14:textId="77777777" w:rsidR="0002096D" w:rsidRDefault="0002096D">
      <w:pPr>
        <w:pStyle w:val="ConsPlusNormal"/>
        <w:ind w:firstLine="540"/>
        <w:jc w:val="both"/>
      </w:pPr>
      <w:r>
        <w:t>Проект акта размещается на официальном сайте в информационно-телекоммун</w:t>
      </w:r>
      <w:r w:rsidR="00244A0F">
        <w:t>икационной сети «Интернет»</w:t>
      </w:r>
      <w:r>
        <w:t xml:space="preserve"> не менее чем на 7 дней </w:t>
      </w:r>
      <w:r w:rsidRPr="00244A0F">
        <w:rPr>
          <w:vertAlign w:val="superscript"/>
        </w:rPr>
        <w:t>&lt;2&gt;.</w:t>
      </w:r>
    </w:p>
    <w:p w14:paraId="37374D83" w14:textId="77777777" w:rsidR="0002096D" w:rsidRDefault="0002096D" w:rsidP="004156EC">
      <w:pPr>
        <w:pStyle w:val="ConsPlusNormal"/>
        <w:ind w:firstLine="539"/>
        <w:jc w:val="both"/>
      </w:pPr>
      <w:r>
        <w:t>--------------------------------</w:t>
      </w:r>
    </w:p>
    <w:p w14:paraId="5FA56272" w14:textId="77777777" w:rsidR="0002096D" w:rsidRPr="00244A0F" w:rsidRDefault="0002096D" w:rsidP="004156EC">
      <w:pPr>
        <w:pStyle w:val="ConsPlusNormal"/>
        <w:ind w:firstLine="539"/>
        <w:jc w:val="both"/>
        <w:rPr>
          <w:sz w:val="22"/>
          <w:szCs w:val="22"/>
        </w:rPr>
      </w:pPr>
      <w:r w:rsidRPr="00244A0F">
        <w:rPr>
          <w:sz w:val="22"/>
          <w:szCs w:val="22"/>
        </w:rPr>
        <w:t xml:space="preserve">&lt;2&gt; </w:t>
      </w:r>
      <w:hyperlink r:id="rId12" w:history="1">
        <w:r w:rsidRPr="00244A0F">
          <w:rPr>
            <w:sz w:val="22"/>
            <w:szCs w:val="22"/>
          </w:rPr>
          <w:t>Абзац второй пункта 6</w:t>
        </w:r>
      </w:hyperlink>
      <w:r w:rsidRPr="00244A0F">
        <w:rPr>
          <w:sz w:val="22"/>
          <w:szCs w:val="22"/>
        </w:rPr>
        <w:t xml:space="preserve"> Правил проведения экспертизы.</w:t>
      </w:r>
    </w:p>
    <w:p w14:paraId="66BE90AB" w14:textId="77777777" w:rsidR="0002096D" w:rsidRPr="00244A0F" w:rsidRDefault="0002096D">
      <w:pPr>
        <w:pStyle w:val="ConsPlusNormal"/>
        <w:jc w:val="both"/>
      </w:pPr>
    </w:p>
    <w:p w14:paraId="37C0E77C" w14:textId="77777777" w:rsidR="0002096D" w:rsidRDefault="0002096D" w:rsidP="001E7D75">
      <w:pPr>
        <w:pStyle w:val="ConsPlusNormal"/>
        <w:ind w:firstLine="539"/>
        <w:jc w:val="both"/>
      </w:pPr>
      <w:r>
        <w:t>12. В отношении проекта акта, содержащего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14:paraId="7E7D4115" w14:textId="77777777" w:rsidR="0002096D" w:rsidRDefault="0002096D" w:rsidP="001E7D75">
      <w:pPr>
        <w:pStyle w:val="ConsPlusNormal"/>
        <w:ind w:firstLine="539"/>
        <w:jc w:val="both"/>
      </w:pPr>
      <w:r>
        <w:t xml:space="preserve">13. Заключение по результатам независимой антикоррупционной экспертизы носит рекомендательный характер и подлежит обязательному рассмотрению ответственным структурным подразделением в тридцатидневный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отсутствуют информация о выявленных коррупциогенных факторах или предложения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проекте акта коррупциогенным фактором </w:t>
      </w:r>
      <w:r w:rsidRPr="00244A0F">
        <w:rPr>
          <w:vertAlign w:val="superscript"/>
        </w:rPr>
        <w:t>&lt;3&gt;.</w:t>
      </w:r>
    </w:p>
    <w:p w14:paraId="2636B5F2" w14:textId="77777777" w:rsidR="0002096D" w:rsidRDefault="0002096D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1BEECD5F" w14:textId="77777777" w:rsidR="0002096D" w:rsidRPr="00244A0F" w:rsidRDefault="0002096D" w:rsidP="004156EC">
      <w:pPr>
        <w:pStyle w:val="ConsPlusNormal"/>
        <w:ind w:firstLine="539"/>
        <w:jc w:val="both"/>
        <w:rPr>
          <w:sz w:val="22"/>
          <w:szCs w:val="22"/>
        </w:rPr>
      </w:pPr>
      <w:r w:rsidRPr="00244A0F">
        <w:rPr>
          <w:sz w:val="22"/>
          <w:szCs w:val="22"/>
        </w:rPr>
        <w:t xml:space="preserve">&lt;3&gt; </w:t>
      </w:r>
      <w:hyperlink r:id="rId13" w:history="1">
        <w:r w:rsidRPr="00244A0F">
          <w:rPr>
            <w:sz w:val="22"/>
            <w:szCs w:val="22"/>
          </w:rPr>
          <w:t>Часть 3 статьи 5</w:t>
        </w:r>
      </w:hyperlink>
      <w:r w:rsidRPr="00244A0F">
        <w:rPr>
          <w:sz w:val="22"/>
          <w:szCs w:val="22"/>
        </w:rPr>
        <w:t xml:space="preserve"> Федераль</w:t>
      </w:r>
      <w:r w:rsidR="00244A0F">
        <w:rPr>
          <w:sz w:val="22"/>
          <w:szCs w:val="22"/>
        </w:rPr>
        <w:t>ного закона от 17 июля 2009 г. № 172-ФЗ «</w:t>
      </w:r>
      <w:r w:rsidRPr="00244A0F">
        <w:rPr>
          <w:sz w:val="22"/>
          <w:szCs w:val="22"/>
        </w:rPr>
        <w:t>Об антикоррупционной экспертизе нормативных правовых актов и проектов</w:t>
      </w:r>
      <w:r w:rsidR="00244A0F">
        <w:rPr>
          <w:sz w:val="22"/>
          <w:szCs w:val="22"/>
        </w:rPr>
        <w:t xml:space="preserve"> нормативных правовых актов»</w:t>
      </w:r>
      <w:r w:rsidRPr="00244A0F">
        <w:rPr>
          <w:sz w:val="22"/>
          <w:szCs w:val="22"/>
        </w:rPr>
        <w:t xml:space="preserve"> (Собрание законодательст</w:t>
      </w:r>
      <w:r w:rsidR="00244A0F">
        <w:rPr>
          <w:sz w:val="22"/>
          <w:szCs w:val="22"/>
        </w:rPr>
        <w:t>ва Российской Федерации, 2009, № 29, ст. 3609; 2018, №</w:t>
      </w:r>
      <w:r w:rsidRPr="00244A0F">
        <w:rPr>
          <w:sz w:val="22"/>
          <w:szCs w:val="22"/>
        </w:rPr>
        <w:t xml:space="preserve"> 42, ст. 6376), </w:t>
      </w:r>
      <w:hyperlink r:id="rId14" w:history="1">
        <w:r w:rsidRPr="00244A0F">
          <w:rPr>
            <w:sz w:val="22"/>
            <w:szCs w:val="22"/>
          </w:rPr>
          <w:t>пункт 7(3)</w:t>
        </w:r>
      </w:hyperlink>
      <w:r w:rsidRPr="00244A0F">
        <w:rPr>
          <w:sz w:val="22"/>
          <w:szCs w:val="22"/>
        </w:rPr>
        <w:t xml:space="preserve"> Правил проведения экспертизы.</w:t>
      </w:r>
    </w:p>
    <w:p w14:paraId="334981CA" w14:textId="77777777" w:rsidR="0002096D" w:rsidRPr="00244A0F" w:rsidRDefault="0002096D">
      <w:pPr>
        <w:pStyle w:val="ConsPlusNormal"/>
        <w:jc w:val="both"/>
        <w:rPr>
          <w:sz w:val="22"/>
          <w:szCs w:val="22"/>
        </w:rPr>
      </w:pPr>
    </w:p>
    <w:p w14:paraId="2604F8C7" w14:textId="77777777" w:rsidR="0002096D" w:rsidRPr="00244A0F" w:rsidRDefault="0002096D">
      <w:pPr>
        <w:pStyle w:val="ConsPlusNormal"/>
        <w:ind w:firstLine="540"/>
        <w:jc w:val="both"/>
      </w:pPr>
      <w:r w:rsidRPr="00244A0F">
        <w:t xml:space="preserve">14. В случае если поступившее заключение по результатам независимой антикоррупционной экспертизы не соответствует </w:t>
      </w:r>
      <w:hyperlink r:id="rId15" w:history="1">
        <w:r w:rsidRPr="00244A0F">
          <w:t>форме</w:t>
        </w:r>
      </w:hyperlink>
      <w:r w:rsidRPr="00244A0F">
        <w:t>, утвержденной приказом Минюст</w:t>
      </w:r>
      <w:r w:rsidR="00244A0F">
        <w:t>а России от 21 октября 2011 г. № 363 «</w:t>
      </w:r>
      <w:r w:rsidRPr="00244A0F">
        <w:t>Об утверждении формы заключения по результатам независим</w:t>
      </w:r>
      <w:r w:rsidR="00244A0F">
        <w:t>ой антикоррупционной экспертизы»</w:t>
      </w:r>
      <w:r w:rsidRPr="00244A0F">
        <w:t xml:space="preserve"> (зарегистрирован Министерством юстиции Российской Федерации 9 н</w:t>
      </w:r>
      <w:r w:rsidR="001E7D75">
        <w:t>оября 2011 г., регистрационный №</w:t>
      </w:r>
      <w:r w:rsidRPr="00244A0F">
        <w:t xml:space="preserve"> 22247), с изменениями, внесенными приказом Минюс</w:t>
      </w:r>
      <w:r w:rsidR="001E7D75">
        <w:t>та России от 18 января 2013 г. №</w:t>
      </w:r>
      <w:r w:rsidRPr="00244A0F">
        <w:t xml:space="preserve"> 4 (зарегистрирован Министерством юстиции Российской Федерации 14 фе</w:t>
      </w:r>
      <w:r w:rsidR="001E7D75">
        <w:t>враля 2013 г., регистрационный №</w:t>
      </w:r>
      <w:r w:rsidRPr="00244A0F">
        <w:t xml:space="preserve"> 27070), ответственное структурное подразделение возвращает такое заключение не позднее 30 дней после его регистрации в Службе с указанием причин возврата </w:t>
      </w:r>
      <w:r w:rsidRPr="001E7D75">
        <w:rPr>
          <w:vertAlign w:val="superscript"/>
        </w:rPr>
        <w:t>&lt;4&gt;.</w:t>
      </w:r>
    </w:p>
    <w:p w14:paraId="27C8AE54" w14:textId="77777777" w:rsidR="0002096D" w:rsidRDefault="0002096D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58D4A3A8" w14:textId="77777777" w:rsidR="0002096D" w:rsidRPr="004156EC" w:rsidRDefault="0002096D" w:rsidP="004156EC">
      <w:pPr>
        <w:pStyle w:val="ConsPlusNormal"/>
        <w:ind w:firstLine="539"/>
        <w:jc w:val="both"/>
        <w:rPr>
          <w:sz w:val="22"/>
          <w:szCs w:val="22"/>
        </w:rPr>
      </w:pPr>
      <w:r w:rsidRPr="004156EC">
        <w:rPr>
          <w:sz w:val="22"/>
          <w:szCs w:val="22"/>
        </w:rPr>
        <w:t xml:space="preserve">&lt;4&gt; </w:t>
      </w:r>
      <w:hyperlink r:id="rId16" w:history="1">
        <w:r w:rsidRPr="004156EC">
          <w:rPr>
            <w:sz w:val="22"/>
            <w:szCs w:val="22"/>
          </w:rPr>
          <w:t>Пункт 7(4)</w:t>
        </w:r>
      </w:hyperlink>
      <w:r w:rsidRPr="004156EC">
        <w:rPr>
          <w:sz w:val="22"/>
          <w:szCs w:val="22"/>
        </w:rPr>
        <w:t xml:space="preserve"> Правил проведения экспертизы.</w:t>
      </w:r>
    </w:p>
    <w:p w14:paraId="70974762" w14:textId="77777777" w:rsidR="0002096D" w:rsidRPr="001E7D75" w:rsidRDefault="0002096D">
      <w:pPr>
        <w:pStyle w:val="ConsPlusNormal"/>
        <w:jc w:val="both"/>
      </w:pPr>
    </w:p>
    <w:p w14:paraId="769A7542" w14:textId="5EE80907" w:rsidR="0002096D" w:rsidRDefault="0002096D" w:rsidP="003E1D07">
      <w:pPr>
        <w:pStyle w:val="ConsPlusNormal"/>
        <w:ind w:firstLine="540"/>
        <w:jc w:val="both"/>
      </w:pPr>
      <w:r>
        <w:t xml:space="preserve">15. Сведения о проведении независимой антикоррупционной экспертизы (с приложением копий заключений по результатам независимой антикоррупционной экспертизы (при их поступлении в Службу) отражаются ответственным структурным подразделением в служебной записке, прилагаемой к нормативному правовому акту Службы, направляемому в </w:t>
      </w:r>
      <w:r w:rsidR="001E7D75">
        <w:t xml:space="preserve">Отдел </w:t>
      </w:r>
      <w:r>
        <w:t>для представления указанного акта на государственную регистрацию в Министерство юстиции</w:t>
      </w:r>
      <w:r w:rsidR="00F4444E">
        <w:t xml:space="preserve"> Республики Дагестан</w:t>
      </w:r>
      <w:r>
        <w:t>.</w:t>
      </w:r>
    </w:p>
    <w:p w14:paraId="1E914C28" w14:textId="77777777" w:rsidR="0002096D" w:rsidRDefault="0002096D">
      <w:pPr>
        <w:pStyle w:val="ConsPlusNormal"/>
        <w:jc w:val="both"/>
      </w:pPr>
    </w:p>
    <w:p w14:paraId="472352A7" w14:textId="77777777" w:rsidR="004156EC" w:rsidRDefault="004156EC">
      <w:pPr>
        <w:pStyle w:val="ConsPlusTitle"/>
        <w:jc w:val="center"/>
        <w:outlineLvl w:val="1"/>
      </w:pPr>
    </w:p>
    <w:p w14:paraId="3126AC62" w14:textId="77777777" w:rsidR="001E7D75" w:rsidRDefault="0002096D">
      <w:pPr>
        <w:pStyle w:val="ConsPlusTitle"/>
        <w:jc w:val="center"/>
        <w:outlineLvl w:val="1"/>
      </w:pPr>
      <w:r>
        <w:t xml:space="preserve">IV. Антикоррупционная экспертиза </w:t>
      </w:r>
    </w:p>
    <w:p w14:paraId="33AFEBAB" w14:textId="77777777" w:rsidR="0002096D" w:rsidRDefault="0002096D">
      <w:pPr>
        <w:pStyle w:val="ConsPlusTitle"/>
        <w:jc w:val="center"/>
        <w:outlineLvl w:val="1"/>
      </w:pPr>
      <w:r>
        <w:t>нормативных правовых</w:t>
      </w:r>
      <w:r w:rsidR="001E7D75" w:rsidRPr="001E7D75">
        <w:t xml:space="preserve"> актов Службы</w:t>
      </w:r>
    </w:p>
    <w:p w14:paraId="7EF0BE35" w14:textId="77777777" w:rsidR="0002096D" w:rsidRDefault="0002096D">
      <w:pPr>
        <w:pStyle w:val="ConsPlusNormal"/>
        <w:jc w:val="both"/>
      </w:pPr>
    </w:p>
    <w:p w14:paraId="74BDF535" w14:textId="77777777" w:rsidR="0002096D" w:rsidRDefault="0002096D" w:rsidP="001E7D75">
      <w:pPr>
        <w:pStyle w:val="ConsPlusNormal"/>
        <w:ind w:firstLine="540"/>
        <w:jc w:val="both"/>
      </w:pPr>
      <w:r>
        <w:t>16. Антикоррупционная экспертиза нормативных правовых актов Службы (далее - правовой акт) проводится при мониторинге их применения, осуществляемом ответственными структурными подразделениями.</w:t>
      </w:r>
    </w:p>
    <w:p w14:paraId="3674D922" w14:textId="77777777" w:rsidR="0002096D" w:rsidRDefault="0002096D" w:rsidP="001E7D75">
      <w:pPr>
        <w:pStyle w:val="ConsPlusNormal"/>
        <w:ind w:firstLine="540"/>
        <w:jc w:val="both"/>
      </w:pPr>
      <w:r>
        <w:t>17. В ходе мониторинга применения правовых актов осуществляются сбор и обобщение информации о практике применения правовых актов, ее анализ и оценка.</w:t>
      </w:r>
    </w:p>
    <w:p w14:paraId="3BBAAFF7" w14:textId="77777777" w:rsidR="0002096D" w:rsidRDefault="0002096D" w:rsidP="001E7D75">
      <w:pPr>
        <w:pStyle w:val="ConsPlusNormal"/>
        <w:ind w:firstLine="540"/>
        <w:jc w:val="both"/>
      </w:pPr>
      <w:r>
        <w:t xml:space="preserve">18. При выявлении в правовом акте коррупциогенных факторов ответственное структурное подразделение в течение 14 календарных дней готовит предложения по их устранению и направляет проект акта об изменении или признании утратившим силу данного правового акта с приложением служебной записки в </w:t>
      </w:r>
      <w:r w:rsidR="001E7D75">
        <w:t xml:space="preserve">Отдел </w:t>
      </w:r>
      <w:r>
        <w:t xml:space="preserve">для проведения его антикоррупционной экспертизы в соответствии с </w:t>
      </w:r>
      <w:hyperlink w:anchor="P42" w:history="1">
        <w:r w:rsidRPr="001E7D75">
          <w:t>главой II</w:t>
        </w:r>
      </w:hyperlink>
      <w:r w:rsidRPr="001E7D75">
        <w:t xml:space="preserve"> </w:t>
      </w:r>
      <w:r>
        <w:t>настоящего Порядка.</w:t>
      </w:r>
    </w:p>
    <w:p w14:paraId="03FD5C91" w14:textId="77777777" w:rsidR="0002096D" w:rsidRDefault="0002096D" w:rsidP="001E7D75">
      <w:pPr>
        <w:pStyle w:val="ConsPlusNormal"/>
        <w:jc w:val="both"/>
      </w:pPr>
    </w:p>
    <w:p w14:paraId="29D4E53E" w14:textId="77777777" w:rsidR="0093637F" w:rsidRDefault="0093637F"/>
    <w:p w14:paraId="676B48B3" w14:textId="77777777" w:rsidR="004156EC" w:rsidRDefault="001E7D75" w:rsidP="001E7D75">
      <w:pPr>
        <w:jc w:val="center"/>
      </w:pPr>
      <w:r>
        <w:t>_____________________________________________</w:t>
      </w:r>
    </w:p>
    <w:p w14:paraId="19D0D851" w14:textId="77777777" w:rsidR="004156EC" w:rsidRPr="004156EC" w:rsidRDefault="004156EC" w:rsidP="004156EC"/>
    <w:p w14:paraId="7C07545E" w14:textId="77777777" w:rsidR="004156EC" w:rsidRPr="004156EC" w:rsidRDefault="004156EC" w:rsidP="004156EC"/>
    <w:p w14:paraId="403C9C26" w14:textId="77777777" w:rsidR="004156EC" w:rsidRPr="004156EC" w:rsidRDefault="004156EC" w:rsidP="004156EC"/>
    <w:p w14:paraId="703F3D56" w14:textId="77777777" w:rsidR="004156EC" w:rsidRPr="004156EC" w:rsidRDefault="004156EC" w:rsidP="004156EC"/>
    <w:p w14:paraId="4520FCC9" w14:textId="77777777" w:rsidR="004156EC" w:rsidRPr="004156EC" w:rsidRDefault="004156EC" w:rsidP="004156EC"/>
    <w:p w14:paraId="1D8E7E44" w14:textId="77777777" w:rsidR="004156EC" w:rsidRPr="004156EC" w:rsidRDefault="004156EC" w:rsidP="004156EC"/>
    <w:p w14:paraId="7E8EC8F9" w14:textId="77777777" w:rsidR="004156EC" w:rsidRPr="004156EC" w:rsidRDefault="004156EC" w:rsidP="004156EC"/>
    <w:p w14:paraId="46C0E33B" w14:textId="77777777" w:rsidR="004156EC" w:rsidRPr="004156EC" w:rsidRDefault="004156EC" w:rsidP="004156EC"/>
    <w:p w14:paraId="70DA2220" w14:textId="77777777" w:rsidR="004156EC" w:rsidRPr="004156EC" w:rsidRDefault="004156EC" w:rsidP="004156EC"/>
    <w:p w14:paraId="7B5C21B4" w14:textId="77777777" w:rsidR="004156EC" w:rsidRDefault="004156EC" w:rsidP="004156EC"/>
    <w:p w14:paraId="1885EECE" w14:textId="77777777" w:rsidR="001E7D75" w:rsidRDefault="004156EC" w:rsidP="004156EC">
      <w:pPr>
        <w:tabs>
          <w:tab w:val="left" w:pos="4172"/>
        </w:tabs>
      </w:pPr>
      <w:r>
        <w:tab/>
      </w:r>
    </w:p>
    <w:p w14:paraId="6527046A" w14:textId="77777777" w:rsidR="004156EC" w:rsidRDefault="004156EC" w:rsidP="004156EC">
      <w:pPr>
        <w:tabs>
          <w:tab w:val="left" w:pos="4172"/>
        </w:tabs>
      </w:pPr>
    </w:p>
    <w:p w14:paraId="24E13D76" w14:textId="77777777" w:rsidR="004156EC" w:rsidRDefault="004156EC" w:rsidP="004156EC">
      <w:pPr>
        <w:tabs>
          <w:tab w:val="left" w:pos="4172"/>
        </w:tabs>
      </w:pPr>
    </w:p>
    <w:p w14:paraId="6FFFA15F" w14:textId="77777777" w:rsidR="004156EC" w:rsidRDefault="004156EC" w:rsidP="004156EC">
      <w:pPr>
        <w:tabs>
          <w:tab w:val="left" w:pos="4172"/>
        </w:tabs>
      </w:pPr>
    </w:p>
    <w:p w14:paraId="3CDE9A9F" w14:textId="77777777" w:rsidR="004156EC" w:rsidRDefault="004156EC" w:rsidP="004156EC">
      <w:pPr>
        <w:tabs>
          <w:tab w:val="left" w:pos="4172"/>
        </w:tabs>
      </w:pPr>
    </w:p>
    <w:p w14:paraId="42DE88D3" w14:textId="77777777" w:rsidR="004156EC" w:rsidRDefault="004156EC" w:rsidP="004156EC">
      <w:pPr>
        <w:tabs>
          <w:tab w:val="left" w:pos="4172"/>
        </w:tabs>
      </w:pPr>
    </w:p>
    <w:p w14:paraId="6E33CFEE" w14:textId="77777777" w:rsidR="004156EC" w:rsidRDefault="004156EC" w:rsidP="004156EC">
      <w:pPr>
        <w:tabs>
          <w:tab w:val="left" w:pos="4172"/>
        </w:tabs>
      </w:pPr>
    </w:p>
    <w:p w14:paraId="54BCD006" w14:textId="77777777" w:rsidR="004156EC" w:rsidRDefault="004156EC" w:rsidP="004156EC">
      <w:pPr>
        <w:tabs>
          <w:tab w:val="left" w:pos="4172"/>
        </w:tabs>
      </w:pPr>
    </w:p>
    <w:p w14:paraId="6A856C0A" w14:textId="77777777" w:rsidR="004156EC" w:rsidRDefault="004156EC" w:rsidP="004156EC">
      <w:pPr>
        <w:tabs>
          <w:tab w:val="left" w:pos="4172"/>
        </w:tabs>
      </w:pPr>
    </w:p>
    <w:p w14:paraId="1B8EB11F" w14:textId="77777777" w:rsidR="004156EC" w:rsidRDefault="004156EC" w:rsidP="004156EC">
      <w:pPr>
        <w:tabs>
          <w:tab w:val="left" w:pos="4172"/>
        </w:tabs>
      </w:pPr>
    </w:p>
    <w:p w14:paraId="4C2DC4E8" w14:textId="77777777" w:rsidR="004156EC" w:rsidRDefault="004156EC" w:rsidP="004156EC">
      <w:pPr>
        <w:tabs>
          <w:tab w:val="left" w:pos="4172"/>
        </w:tabs>
      </w:pPr>
    </w:p>
    <w:p w14:paraId="12E7DF89" w14:textId="77777777" w:rsidR="004156EC" w:rsidRDefault="004156EC" w:rsidP="004156EC">
      <w:pPr>
        <w:tabs>
          <w:tab w:val="left" w:pos="4172"/>
        </w:tabs>
      </w:pPr>
    </w:p>
    <w:p w14:paraId="647749C8" w14:textId="77777777" w:rsidR="004156EC" w:rsidRDefault="004156EC" w:rsidP="004156EC">
      <w:pPr>
        <w:tabs>
          <w:tab w:val="left" w:pos="4172"/>
        </w:tabs>
      </w:pPr>
    </w:p>
    <w:p w14:paraId="4F5674A4" w14:textId="77777777" w:rsidR="004156EC" w:rsidRDefault="004156EC" w:rsidP="004156EC">
      <w:pPr>
        <w:tabs>
          <w:tab w:val="left" w:pos="4172"/>
        </w:tabs>
      </w:pPr>
    </w:p>
    <w:p w14:paraId="42C5A280" w14:textId="77777777" w:rsidR="004156EC" w:rsidRDefault="004156EC" w:rsidP="004156EC">
      <w:pPr>
        <w:tabs>
          <w:tab w:val="left" w:pos="4172"/>
        </w:tabs>
      </w:pPr>
    </w:p>
    <w:p w14:paraId="32F7EA0F" w14:textId="77777777" w:rsidR="004156EC" w:rsidRDefault="004156EC" w:rsidP="004156EC">
      <w:pPr>
        <w:tabs>
          <w:tab w:val="left" w:pos="4172"/>
        </w:tabs>
      </w:pPr>
    </w:p>
    <w:p w14:paraId="6BDB07F4" w14:textId="77777777" w:rsidR="004156EC" w:rsidRDefault="004156EC" w:rsidP="004156EC">
      <w:pPr>
        <w:tabs>
          <w:tab w:val="left" w:pos="4172"/>
        </w:tabs>
      </w:pPr>
    </w:p>
    <w:p w14:paraId="4CCD18EC" w14:textId="77777777" w:rsidR="004156EC" w:rsidRDefault="004156EC" w:rsidP="004156EC">
      <w:pPr>
        <w:tabs>
          <w:tab w:val="left" w:pos="4172"/>
        </w:tabs>
      </w:pPr>
    </w:p>
    <w:p w14:paraId="7341E42E" w14:textId="77777777" w:rsidR="004156EC" w:rsidRDefault="004156EC" w:rsidP="004156EC">
      <w:pPr>
        <w:tabs>
          <w:tab w:val="left" w:pos="4172"/>
        </w:tabs>
      </w:pPr>
    </w:p>
    <w:p w14:paraId="41DBBFBB" w14:textId="77777777" w:rsidR="004156EC" w:rsidRDefault="004156EC" w:rsidP="004156EC">
      <w:pPr>
        <w:tabs>
          <w:tab w:val="left" w:pos="4172"/>
        </w:tabs>
      </w:pPr>
    </w:p>
    <w:p w14:paraId="26574F10" w14:textId="77777777" w:rsidR="004156EC" w:rsidRDefault="004156EC" w:rsidP="004156EC">
      <w:pPr>
        <w:tabs>
          <w:tab w:val="left" w:pos="4172"/>
        </w:tabs>
      </w:pPr>
    </w:p>
    <w:p w14:paraId="7E80E263" w14:textId="77777777" w:rsidR="004156EC" w:rsidRDefault="004156EC" w:rsidP="004156EC">
      <w:pPr>
        <w:tabs>
          <w:tab w:val="left" w:pos="4172"/>
        </w:tabs>
      </w:pPr>
    </w:p>
    <w:p w14:paraId="43E67107" w14:textId="213C32B5" w:rsidR="000F569D" w:rsidRPr="00CA1FC4" w:rsidRDefault="00CA1FC4" w:rsidP="00CA1FC4">
      <w:pPr>
        <w:tabs>
          <w:tab w:val="left" w:pos="108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F569D" w:rsidRPr="00CA1FC4" w:rsidSect="003E1D07">
      <w:headerReference w:type="default" r:id="rId17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F0212" w14:textId="77777777" w:rsidR="00AA3CC5" w:rsidRDefault="00AA3CC5" w:rsidP="0065219C">
      <w:r>
        <w:separator/>
      </w:r>
    </w:p>
  </w:endnote>
  <w:endnote w:type="continuationSeparator" w:id="0">
    <w:p w14:paraId="4F6FF88F" w14:textId="77777777" w:rsidR="00AA3CC5" w:rsidRDefault="00AA3CC5" w:rsidP="0065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ACE56" w14:textId="77777777" w:rsidR="00AA3CC5" w:rsidRDefault="00AA3CC5" w:rsidP="0065219C">
      <w:r>
        <w:separator/>
      </w:r>
    </w:p>
  </w:footnote>
  <w:footnote w:type="continuationSeparator" w:id="0">
    <w:p w14:paraId="0FF84657" w14:textId="77777777" w:rsidR="00AA3CC5" w:rsidRDefault="00AA3CC5" w:rsidP="00652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39A9" w14:textId="624F4E4E" w:rsidR="0065219C" w:rsidRPr="0065219C" w:rsidRDefault="0065219C">
    <w:pPr>
      <w:pStyle w:val="a5"/>
    </w:pPr>
    <w:r>
      <w:t>Зарегистрирован в Минюсте РД за номером 5670 от 17 июня 2021 г., опубликован на интернет-портале правовой информации №05035007316 от 17.06.2021.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6D"/>
    <w:rsid w:val="0002096D"/>
    <w:rsid w:val="000F569D"/>
    <w:rsid w:val="001E7D75"/>
    <w:rsid w:val="00244A0F"/>
    <w:rsid w:val="002454DC"/>
    <w:rsid w:val="003E1D07"/>
    <w:rsid w:val="003F3DDA"/>
    <w:rsid w:val="004156EC"/>
    <w:rsid w:val="004C33C9"/>
    <w:rsid w:val="004C78AA"/>
    <w:rsid w:val="004F600F"/>
    <w:rsid w:val="0065219C"/>
    <w:rsid w:val="00780C95"/>
    <w:rsid w:val="00863BA7"/>
    <w:rsid w:val="008A6170"/>
    <w:rsid w:val="00925A31"/>
    <w:rsid w:val="0093637F"/>
    <w:rsid w:val="00AA3CC5"/>
    <w:rsid w:val="00AC3555"/>
    <w:rsid w:val="00B96EFD"/>
    <w:rsid w:val="00C171E7"/>
    <w:rsid w:val="00CA1FC4"/>
    <w:rsid w:val="00E1456F"/>
    <w:rsid w:val="00F4444E"/>
    <w:rsid w:val="00F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6355"/>
  <w15:chartTrackingRefBased/>
  <w15:docId w15:val="{51FEB236-96C8-4BF7-8299-44E49BA7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D7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96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02096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0209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6E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6EF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521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219C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521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219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1760A74EC7EC51CFAE3252049CC7757577842D20B2C6861A04797CA2E38315CCD8E70972880CC7291C08DED060BDD0977F9A5AE1F7CC49ZA0BI" TargetMode="External"/><Relationship Id="rId13" Type="http://schemas.openxmlformats.org/officeDocument/2006/relationships/hyperlink" Target="consultantplus://offline/ref=E21760A74EC7EC51CFAE3252049CC77574758C2420B6C6861A04797CA2E38315CCD8E70972880CC22C1C08DED060BDD0977F9A5AE1F7CC49ZA0B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1760A74EC7EC51CFAE3252049CC77574758C2420B6C6861A04797CA2E38315CCD8E70972880CC4281C08DED060BDD0977F9A5AE1F7CC49ZA0BI" TargetMode="External"/><Relationship Id="rId12" Type="http://schemas.openxmlformats.org/officeDocument/2006/relationships/hyperlink" Target="consultantplus://offline/ref=E21760A74EC7EC51CFAE3252049CC7757577842D20B2C6861A04797CA2E38315CCD8E70B728358976E42518C942BB0D089639A5BZF0EI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21760A74EC7EC51CFAE3252049CC7757577842D20B2C6861A04797CA2E38315CCD8E70A728358976E42518C942BB0D089639A5BZF0EI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21760A74EC7EC51CFAE3252049CC7757577842D20B2C6861A04797CA2E38315CCD8E70A79DC5D827F1A5F8F8A35B3CD956198Z508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21760A74EC7EC51CFAE3252049CC7757671862922B0C6861A04797CA2E38315CCD8E70C79DC5D827F1A5F8F8A35B3CD956198Z508I" TargetMode="External"/><Relationship Id="rId10" Type="http://schemas.openxmlformats.org/officeDocument/2006/relationships/hyperlink" Target="consultantplus://offline/ref=E21760A74EC7EC51CFAE3252049CC7757577842D20B2C6861A04797CA2E38315CCD8E70972880CC42D1C08DED060BDD0977F9A5AE1F7CC49ZA0BI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21760A74EC7EC51CFAE3252049CC7757577842D20B2C6861A04797CA2E38315CCD8E70972880CC42D1C08DED060BDD0977F9A5AE1F7CC49ZA0BI" TargetMode="External"/><Relationship Id="rId14" Type="http://schemas.openxmlformats.org/officeDocument/2006/relationships/hyperlink" Target="consultantplus://offline/ref=E21760A74EC7EC51CFAE3252049CC7757577842D20B2C6861A04797CA2E38315CCD8E7097B8358976E42518C942BB0D089639A5BZF0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</dc:creator>
  <cp:keywords/>
  <dc:description/>
  <cp:lastModifiedBy>8</cp:lastModifiedBy>
  <cp:revision>9</cp:revision>
  <cp:lastPrinted>2021-06-16T07:24:00Z</cp:lastPrinted>
  <dcterms:created xsi:type="dcterms:W3CDTF">2021-03-30T08:52:00Z</dcterms:created>
  <dcterms:modified xsi:type="dcterms:W3CDTF">2022-05-27T07:45:00Z</dcterms:modified>
</cp:coreProperties>
</file>